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6440D" w14:textId="1DD74698" w:rsidR="00954ADA" w:rsidRDefault="00954ADA" w:rsidP="00954ADA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 w:rsidR="00627B71">
        <w:rPr>
          <w:rFonts w:cs="Arial"/>
          <w:b/>
          <w:bCs/>
        </w:rPr>
        <w:t>5</w:t>
      </w:r>
      <w:r>
        <w:rPr>
          <w:rFonts w:cs="Arial"/>
          <w:b/>
          <w:bCs/>
        </w:rPr>
        <w:t xml:space="preserve"> do SWIZ</w:t>
      </w:r>
    </w:p>
    <w:p w14:paraId="7EAD4BCF" w14:textId="77777777" w:rsidR="00954ADA" w:rsidRPr="00A14D9B" w:rsidRDefault="00954ADA" w:rsidP="00954ADA">
      <w:pPr>
        <w:pStyle w:val="Styl1"/>
        <w:rPr>
          <w:i/>
        </w:rPr>
      </w:pPr>
      <w:r>
        <w:rPr>
          <w:rFonts w:cs="Arial"/>
        </w:rPr>
        <w:t xml:space="preserve"> </w:t>
      </w:r>
      <w:r w:rsidRPr="00A14D9B">
        <w:rPr>
          <w:rFonts w:cs="Arial"/>
        </w:rPr>
        <w:t xml:space="preserve">– </w:t>
      </w:r>
      <w:r>
        <w:rPr>
          <w:rFonts w:cs="Arial"/>
        </w:rPr>
        <w:t>Opis przedmiotu zamówienia</w:t>
      </w:r>
    </w:p>
    <w:p w14:paraId="59424107" w14:textId="447FB69B" w:rsidR="00954ADA" w:rsidRPr="00E421F9" w:rsidRDefault="00954ADA" w:rsidP="00954ADA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E421F9">
        <w:rPr>
          <w:rFonts w:ascii="Arial" w:hAnsi="Arial" w:cs="Arial"/>
          <w:b/>
          <w:color w:val="000000" w:themeColor="text1"/>
          <w:sz w:val="22"/>
          <w:szCs w:val="22"/>
        </w:rPr>
        <w:t>Z</w:t>
      </w:r>
      <w:r>
        <w:rPr>
          <w:rFonts w:ascii="Arial" w:hAnsi="Arial" w:cs="Arial"/>
          <w:b/>
          <w:color w:val="000000" w:themeColor="text1"/>
          <w:sz w:val="22"/>
          <w:szCs w:val="22"/>
        </w:rPr>
        <w:t>-</w:t>
      </w:r>
      <w:r w:rsidR="006B73A5">
        <w:rPr>
          <w:rFonts w:ascii="Arial" w:hAnsi="Arial" w:cs="Arial"/>
          <w:b/>
          <w:color w:val="000000" w:themeColor="text1"/>
          <w:sz w:val="22"/>
          <w:szCs w:val="22"/>
        </w:rPr>
        <w:t>144</w:t>
      </w:r>
      <w:r w:rsidRPr="00E421F9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31291A">
        <w:rPr>
          <w:rFonts w:ascii="Arial" w:hAnsi="Arial" w:cs="Arial"/>
          <w:b/>
          <w:color w:val="000000" w:themeColor="text1"/>
          <w:sz w:val="22"/>
          <w:szCs w:val="22"/>
        </w:rPr>
        <w:t>U</w:t>
      </w:r>
      <w:r w:rsidRPr="00E421F9">
        <w:rPr>
          <w:rFonts w:ascii="Arial" w:hAnsi="Arial" w:cs="Arial"/>
          <w:b/>
          <w:color w:val="000000" w:themeColor="text1"/>
          <w:sz w:val="22"/>
          <w:szCs w:val="22"/>
        </w:rPr>
        <w:t>/RZ/2026</w:t>
      </w:r>
    </w:p>
    <w:p w14:paraId="5DC59B0F" w14:textId="44F2AF80" w:rsidR="00954ADA" w:rsidRPr="00E421F9" w:rsidRDefault="00954ADA" w:rsidP="00954ADA">
      <w:pPr>
        <w:spacing w:after="120"/>
        <w:rPr>
          <w:rFonts w:ascii="Arial" w:hAnsi="Arial" w:cs="Arial"/>
          <w:sz w:val="22"/>
          <w:szCs w:val="22"/>
        </w:rPr>
      </w:pPr>
      <w:r w:rsidRPr="00E421F9">
        <w:rPr>
          <w:rFonts w:ascii="Arial" w:hAnsi="Arial" w:cs="Arial"/>
          <w:color w:val="000000" w:themeColor="text1"/>
          <w:sz w:val="22"/>
          <w:szCs w:val="22"/>
        </w:rPr>
        <w:t>Zamówienie pn. „</w:t>
      </w:r>
      <w:r w:rsidR="007D3266">
        <w:rPr>
          <w:rFonts w:ascii="Arial" w:hAnsi="Arial" w:cs="Arial"/>
          <w:i/>
          <w:color w:val="000000" w:themeColor="text1"/>
          <w:sz w:val="22"/>
          <w:szCs w:val="22"/>
        </w:rPr>
        <w:t xml:space="preserve">Remont </w:t>
      </w:r>
      <w:r w:rsidR="006B73A5">
        <w:rPr>
          <w:rFonts w:ascii="Arial" w:hAnsi="Arial" w:cs="Arial"/>
          <w:i/>
          <w:color w:val="000000" w:themeColor="text1"/>
          <w:sz w:val="22"/>
          <w:szCs w:val="22"/>
        </w:rPr>
        <w:t>mieszadeł zatapialnych</w:t>
      </w:r>
      <w:r>
        <w:rPr>
          <w:rFonts w:ascii="Arial" w:hAnsi="Arial" w:cs="Arial"/>
          <w:i/>
          <w:color w:val="000000" w:themeColor="text1"/>
          <w:sz w:val="22"/>
          <w:szCs w:val="22"/>
        </w:rPr>
        <w:t>”</w:t>
      </w:r>
    </w:p>
    <w:p w14:paraId="00DA6F69" w14:textId="77777777" w:rsidR="00954ADA" w:rsidRPr="0016624A" w:rsidRDefault="00954ADA" w:rsidP="00954AD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56F0C445" w14:textId="77777777" w:rsidR="00954ADA" w:rsidRPr="00E50DF8" w:rsidRDefault="00954ADA" w:rsidP="00954ADA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6DA65C96" w14:textId="77777777" w:rsidR="00954ADA" w:rsidRPr="0090082A" w:rsidRDefault="00954ADA" w:rsidP="00954ADA">
      <w:pPr>
        <w:pStyle w:val="Tytu"/>
        <w:spacing w:after="120"/>
        <w:rPr>
          <w:rFonts w:ascii="Arial" w:hAnsi="Arial"/>
          <w:sz w:val="22"/>
          <w:szCs w:val="22"/>
        </w:rPr>
      </w:pPr>
    </w:p>
    <w:p w14:paraId="34D82F10" w14:textId="5E975543" w:rsidR="00A47230" w:rsidRPr="003B38C2" w:rsidRDefault="00954ADA" w:rsidP="00A47230">
      <w:pPr>
        <w:pStyle w:val="Tytu"/>
        <w:spacing w:after="120"/>
        <w:rPr>
          <w:rFonts w:ascii="Arial" w:hAnsi="Arial"/>
          <w:sz w:val="22"/>
          <w:szCs w:val="22"/>
        </w:rPr>
      </w:pPr>
      <w:r w:rsidRPr="00622741">
        <w:rPr>
          <w:rFonts w:ascii="Arial" w:hAnsi="Arial"/>
          <w:sz w:val="28"/>
          <w:szCs w:val="28"/>
        </w:rPr>
        <w:t>Opis przedmiotu zamówienia</w:t>
      </w:r>
    </w:p>
    <w:p w14:paraId="0E64182F" w14:textId="6AA5A877" w:rsidR="003B38C2" w:rsidRPr="003B38C2" w:rsidRDefault="00A47230" w:rsidP="003B38C2">
      <w:pPr>
        <w:pStyle w:val="Akapitzlist"/>
        <w:numPr>
          <w:ilvl w:val="0"/>
          <w:numId w:val="7"/>
        </w:num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3B38C2">
        <w:rPr>
          <w:rFonts w:ascii="Arial" w:hAnsi="Arial" w:cs="Arial"/>
          <w:b/>
          <w:bCs/>
          <w:sz w:val="22"/>
          <w:szCs w:val="22"/>
        </w:rPr>
        <w:t>Przedmiot zamówienia</w:t>
      </w:r>
      <w:r w:rsidR="003B38C2" w:rsidRPr="003B38C2">
        <w:rPr>
          <w:rFonts w:ascii="Arial" w:hAnsi="Arial" w:cs="Arial"/>
          <w:b/>
          <w:bCs/>
          <w:sz w:val="22"/>
          <w:szCs w:val="22"/>
        </w:rPr>
        <w:t xml:space="preserve"> </w:t>
      </w:r>
      <w:r w:rsidR="003B38C2" w:rsidRPr="003B38C2">
        <w:rPr>
          <w:rFonts w:ascii="Arial" w:hAnsi="Arial" w:cs="Arial"/>
          <w:b/>
          <w:bCs/>
          <w:sz w:val="22"/>
          <w:szCs w:val="22"/>
        </w:rPr>
        <w:t>jest:</w:t>
      </w:r>
    </w:p>
    <w:p w14:paraId="31006FF5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Wykonanie </w:t>
      </w:r>
      <w:r w:rsidRPr="003B38C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wymiany</w:t>
      </w: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 (dostawa + montaż + rozruch) 2 sztuk wyeksploatowanych agregatów mieszających (punkty mieszania nr 10333 oraz 10433 w reaktorach biologicznych nr 3 i 4) na fabrycznie nowe mieszadła zatapialne wolnoobrotowe. Zamówienie ma na celu przywrócenie wymaganych parametrów technologicznych mieszania w komorach reaktorów.</w:t>
      </w:r>
    </w:p>
    <w:p w14:paraId="78D3DC46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b) Opis stanu obecnego:</w:t>
      </w:r>
    </w:p>
    <w:p w14:paraId="72B65433" w14:textId="77777777" w:rsidR="003B38C2" w:rsidRPr="003B38C2" w:rsidRDefault="003B38C2" w:rsidP="003B38C2">
      <w:pPr>
        <w:numPr>
          <w:ilvl w:val="0"/>
          <w:numId w:val="6"/>
        </w:num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Po 16 latach nieprzerwanej pracy urządzenia wykazują całkowite zużycie eksploatacyjne i zmęczeniowe.</w:t>
      </w:r>
    </w:p>
    <w:p w14:paraId="57C92296" w14:textId="77777777" w:rsidR="003B38C2" w:rsidRPr="003B38C2" w:rsidRDefault="003B38C2" w:rsidP="003B38C2">
      <w:pPr>
        <w:numPr>
          <w:ilvl w:val="0"/>
          <w:numId w:val="6"/>
        </w:num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Degradacja układów napędowych: Odnotowano 2 przypadki spalenia (przebicia) uzwojeń stojanów. Wielokrotne przewijanie silników obniża ich pierwotną sprawność i zwiększa podatność na kolejne przebicia.</w:t>
      </w:r>
    </w:p>
    <w:p w14:paraId="5A40AA49" w14:textId="77777777" w:rsidR="003B38C2" w:rsidRPr="003B38C2" w:rsidRDefault="003B38C2" w:rsidP="003B38C2">
      <w:pPr>
        <w:numPr>
          <w:ilvl w:val="0"/>
          <w:numId w:val="6"/>
        </w:num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Nieszczelność korpusów: Trzykrotne naprawy uszczelnień mechanicznych wskazują na wypracowanie gniazd uszczelniających i wałów, co grozi zalaniem silnika i nieodwracalnym zniszczeniem agregatu.</w:t>
      </w:r>
    </w:p>
    <w:p w14:paraId="7DD18B88" w14:textId="77777777" w:rsidR="003B38C2" w:rsidRPr="003B38C2" w:rsidRDefault="003B38C2" w:rsidP="003B38C2">
      <w:pPr>
        <w:numPr>
          <w:ilvl w:val="0"/>
          <w:numId w:val="6"/>
        </w:num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Zużycie mechaniczne: 4 wymiany łożysk w krótkim odstępie czasu świadczą o utracie osiowości wałów lub znacznym zużyciu przekładni, co generuje nadmierne wibracje i hałas.</w:t>
      </w:r>
    </w:p>
    <w:p w14:paraId="6AE2D884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c) Opis pracy przedmiotu zamówienia:</w:t>
      </w:r>
    </w:p>
    <w:p w14:paraId="1B992063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Przedmiotem zamówienia jest zapewnienie ciągłego i efektywnego procesu mieszania w komorach reaktorów biologicznych nr 3 i 4. Praca nowych jednostek napędowych po montażu będzie polegała na:</w:t>
      </w:r>
    </w:p>
    <w:p w14:paraId="5C7C471C" w14:textId="77777777" w:rsidR="003B38C2" w:rsidRPr="003B38C2" w:rsidRDefault="003B38C2" w:rsidP="003B38C2">
      <w:pPr>
        <w:numPr>
          <w:ilvl w:val="0"/>
          <w:numId w:val="5"/>
        </w:num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Generowaniu wymuszonego przepływu osadu czynnego: Mieszadła wolnoobrotowe, dzięki dużej średnicy śmigła i odpowiednio dobranej sile ciągu, mają za zadanie wprawić w ruch całą objętość ścieków w komorze, zapobiegając ich rozwarstwieniu.</w:t>
      </w:r>
    </w:p>
    <w:p w14:paraId="26C0F283" w14:textId="77777777" w:rsidR="003B38C2" w:rsidRPr="003B38C2" w:rsidRDefault="003B38C2" w:rsidP="003B38C2">
      <w:pPr>
        <w:numPr>
          <w:ilvl w:val="0"/>
          <w:numId w:val="5"/>
        </w:num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Utrzymywaniu biomasy w zawiesinie: Praca urządzeń musi wyeliminować zjawisko sedymentacji (osadzania się) osadu na dnie zbiornika. Prędkość przepływu przy dnie musi być wyższa od prędkości opadania kłaczków osadu, co zapewnia stały kontakt mikroorganizmów z dopływającymi zanieczyszczeniami (substratem).</w:t>
      </w:r>
    </w:p>
    <w:p w14:paraId="5324504C" w14:textId="77777777" w:rsidR="003B38C2" w:rsidRPr="003B38C2" w:rsidRDefault="003B38C2" w:rsidP="003B38C2">
      <w:pPr>
        <w:numPr>
          <w:ilvl w:val="0"/>
          <w:numId w:val="5"/>
        </w:num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Homogenizacji składu ścieków: Mieszadła mają za zadanie ujednolicić stężenie tlenu, temperatury oraz ładunku zanieczyszczeń w całej objętości komory, co stabilizuje procesy biologiczne (np. denitryfikację lub </w:t>
      </w:r>
      <w:proofErr w:type="spellStart"/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defosfatację</w:t>
      </w:r>
      <w:proofErr w:type="spellEnd"/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w zależności od aktualnej fazy pracy reaktora).</w:t>
      </w:r>
    </w:p>
    <w:p w14:paraId="3329631B" w14:textId="77777777" w:rsidR="003B38C2" w:rsidRPr="003B38C2" w:rsidRDefault="003B38C2" w:rsidP="003B38C2">
      <w:pPr>
        <w:numPr>
          <w:ilvl w:val="0"/>
          <w:numId w:val="5"/>
        </w:num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lastRenderedPageBreak/>
        <w:t>Wspomaganiu uwalniania gazów procesowych: Poprzez stały ruch cieczy, mieszadła ułatwiają odprowadzanie gazów (np. azotu cząsteczkowego) powstających w procesach metabolicznych bakterii, co zapobiega tzw. „puchnięciu” i wynoszeniu osadu na powierzchnię.</w:t>
      </w:r>
    </w:p>
    <w:p w14:paraId="55CBC113" w14:textId="77777777" w:rsidR="003B38C2" w:rsidRPr="003B38C2" w:rsidRDefault="003B38C2" w:rsidP="003B38C2">
      <w:pPr>
        <w:numPr>
          <w:ilvl w:val="0"/>
          <w:numId w:val="5"/>
        </w:num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Współpracy z systemem sterowania: Urządzenia będą pracować w trybie ciągłym (24 h/dobę), sterowane automatycznie z szaf </w:t>
      </w:r>
      <w:proofErr w:type="spellStart"/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AKPiA</w:t>
      </w:r>
      <w:proofErr w:type="spellEnd"/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z możliwością regulacji prędkości obrotowej poprzez istniejące przemienniki częstotliwości (falowniki) w celu optymalizacji zużycia energii.</w:t>
      </w:r>
    </w:p>
    <w:p w14:paraId="04BACD93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D6D2173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2. Ogólny zakres prac</w:t>
      </w:r>
    </w:p>
    <w:p w14:paraId="2EA8F03A" w14:textId="77777777" w:rsidR="003B38C2" w:rsidRPr="003B38C2" w:rsidRDefault="003B38C2" w:rsidP="003B38C2">
      <w:pPr>
        <w:spacing w:after="160" w:line="259" w:lineRule="auto"/>
        <w:ind w:left="567" w:hanging="283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a) Demontaż: Wyjęcie z komór dotychczasowych, wyeksploatowanych mieszadeł (rok </w:t>
      </w:r>
      <w:proofErr w:type="spellStart"/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prod</w:t>
      </w:r>
      <w:proofErr w:type="spellEnd"/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. 2010), odłączenie przewodów zasilających i sygnałowych. </w:t>
      </w:r>
    </w:p>
    <w:p w14:paraId="2214A46F" w14:textId="77777777" w:rsidR="003B38C2" w:rsidRPr="003B38C2" w:rsidRDefault="003B38C2" w:rsidP="003B38C2">
      <w:pPr>
        <w:spacing w:after="160" w:line="259" w:lineRule="auto"/>
        <w:ind w:left="567" w:hanging="283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b) Dostawa urządzeń: Dostarczenie 2 kompletnych, fabrycznie nowych agregatów mieszających (mieszadeł wolnoobrotowych) o parametrach nie gorszych niż jednostki pierwotne.</w:t>
      </w:r>
    </w:p>
    <w:p w14:paraId="0CF4F51E" w14:textId="77777777" w:rsidR="003B38C2" w:rsidRPr="003B38C2" w:rsidRDefault="003B38C2" w:rsidP="003B38C2">
      <w:pPr>
        <w:spacing w:after="160" w:line="259" w:lineRule="auto"/>
        <w:ind w:left="567" w:hanging="283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c) Montaż i adaptacja: Osadzenie nowych agregatów na istniejącym systemie prowadnic i uchwytów (masztach). W ramach zamówienia dopuszcza się wymianę rolek prowadzących lub uchwytów montażowych w celu zapewnienia pełnej kompatybilności.</w:t>
      </w:r>
    </w:p>
    <w:p w14:paraId="2C6C3B9E" w14:textId="77777777" w:rsidR="003B38C2" w:rsidRPr="003B38C2" w:rsidRDefault="003B38C2" w:rsidP="003B38C2">
      <w:pPr>
        <w:spacing w:after="160" w:line="259" w:lineRule="auto"/>
        <w:ind w:left="567" w:hanging="283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d) Prace elektryczne: Podłączenie nowych przewodów zasilających (odpornych na ścieki) do istniejących puszek połączeniowych lub szaf sterowniczych.</w:t>
      </w:r>
    </w:p>
    <w:p w14:paraId="4F37ED52" w14:textId="77777777" w:rsidR="003B38C2" w:rsidRPr="003B38C2" w:rsidRDefault="003B38C2" w:rsidP="003B38C2">
      <w:pPr>
        <w:spacing w:after="160" w:line="259" w:lineRule="auto"/>
        <w:ind w:left="567" w:hanging="283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e) Rozruch i próby: Uruchomienie urządzeń, regulacja oraz przeprowadzenie prób potwierdzających osiągnięcie wymaganych parametrów przepływu.</w:t>
      </w:r>
    </w:p>
    <w:p w14:paraId="2F984339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2.1. Wymagania techniczne: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2462"/>
        <w:gridCol w:w="6064"/>
      </w:tblGrid>
      <w:tr w:rsidR="003B38C2" w:rsidRPr="003B38C2" w14:paraId="7FEF7D7A" w14:textId="77777777" w:rsidTr="00EE7E7E">
        <w:trPr>
          <w:tblHeader/>
        </w:trPr>
        <w:tc>
          <w:tcPr>
            <w:tcW w:w="223" w:type="pct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F57B2C7" w14:textId="77777777" w:rsidR="003B38C2" w:rsidRPr="003B38C2" w:rsidRDefault="003B38C2" w:rsidP="003B38C2">
            <w:pPr>
              <w:spacing w:line="259" w:lineRule="auto"/>
              <w:jc w:val="both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Lp.</w:t>
            </w:r>
          </w:p>
        </w:tc>
        <w:tc>
          <w:tcPr>
            <w:tcW w:w="1190" w:type="pct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726AA9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Parametr / Wymaganie</w:t>
            </w:r>
          </w:p>
        </w:tc>
        <w:tc>
          <w:tcPr>
            <w:tcW w:w="3587" w:type="pct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72C4A9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Wartość / Opis</w:t>
            </w:r>
          </w:p>
        </w:tc>
      </w:tr>
      <w:tr w:rsidR="003B38C2" w:rsidRPr="003B38C2" w14:paraId="798568AE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1ADBBB7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0721D7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Typ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A9FE16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Mieszadło zatapialne wolnoobrotowe planetarne</w:t>
            </w:r>
          </w:p>
        </w:tc>
      </w:tr>
      <w:tr w:rsidR="003B38C2" w:rsidRPr="003B38C2" w14:paraId="4B60B518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E0DE17C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9018B4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Energooszczędność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10963F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Silnik o sprawności min. IE3 lub wyższy</w:t>
            </w:r>
          </w:p>
        </w:tc>
      </w:tr>
      <w:tr w:rsidR="003B38C2" w:rsidRPr="003B38C2" w14:paraId="36BE99E0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8103B20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B91990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Zabezpieczenia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16621C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Termiczne w uzwojeniach + przeciekowe w komorze olejowej/silnika</w:t>
            </w:r>
          </w:p>
        </w:tc>
      </w:tr>
      <w:tr w:rsidR="003B38C2" w:rsidRPr="003B38C2" w14:paraId="5360F09E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921FEB7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35923D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Materiał śmigła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380D3E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Kompozyt (poliamid + włókno szklane) LUB stal kwasoodporna, profil zapobiegający nawijaniu zanieczyszczeń włóknistych</w:t>
            </w:r>
          </w:p>
        </w:tc>
      </w:tr>
      <w:tr w:rsidR="003B38C2" w:rsidRPr="003B38C2" w14:paraId="6511A887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8FBC938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6351CA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Moc silnika (</w:t>
            </w:r>
            <w:proofErr w:type="spellStart"/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Pmax</w:t>
            </w:r>
            <w:proofErr w:type="spellEnd"/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)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45BA87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5 kW</w:t>
            </w:r>
          </w:p>
        </w:tc>
      </w:tr>
      <w:tr w:rsidR="003B38C2" w:rsidRPr="003B38C2" w14:paraId="4CF7DD32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17B3AED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9087EB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Liczba obrotów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6BAF28E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29 </w:t>
            </w:r>
            <w:proofErr w:type="spellStart"/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obr</w:t>
            </w:r>
            <w:proofErr w:type="spellEnd"/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/min</w:t>
            </w:r>
          </w:p>
        </w:tc>
      </w:tr>
      <w:tr w:rsidR="003B38C2" w:rsidRPr="003B38C2" w14:paraId="25E76B05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BED9610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A2C7EB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Średnica śmigła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DC4FA0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2500 mm, samoczyszczące</w:t>
            </w:r>
          </w:p>
        </w:tc>
      </w:tr>
      <w:tr w:rsidR="003B38C2" w:rsidRPr="003B38C2" w14:paraId="13AD12B8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A0153A4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8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F29697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Liczba łopatek śmigła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87FACA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 szt.</w:t>
            </w:r>
          </w:p>
        </w:tc>
      </w:tr>
      <w:tr w:rsidR="003B38C2" w:rsidRPr="003B38C2" w14:paraId="7AA99B51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1B3CFB8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9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34AC80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Ciężar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1CA5847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max. 250 kg ± 10%</w:t>
            </w:r>
          </w:p>
        </w:tc>
      </w:tr>
      <w:tr w:rsidR="003B38C2" w:rsidRPr="003B38C2" w14:paraId="2327BADC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7B8789F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10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F851E3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Korpus przekładni i silnika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36A6169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EN-GJL-250</w:t>
            </w:r>
          </w:p>
        </w:tc>
      </w:tr>
      <w:tr w:rsidR="003B38C2" w:rsidRPr="003B38C2" w14:paraId="00EC0DC5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63848DD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11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500FF0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Wał, śruby, nakrętki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280593B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Stal nierdzewna 1.4021, A4</w:t>
            </w:r>
          </w:p>
        </w:tc>
      </w:tr>
      <w:tr w:rsidR="003B38C2" w:rsidRPr="003B38C2" w14:paraId="6BDD44C6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AD8F02A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12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8284E6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Uszczelnienie mechaniczne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316ADB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Podwójne </w:t>
            </w:r>
            <w:proofErr w:type="spellStart"/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SiC</w:t>
            </w:r>
            <w:proofErr w:type="spellEnd"/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/</w:t>
            </w:r>
            <w:proofErr w:type="spellStart"/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SiC</w:t>
            </w:r>
            <w:proofErr w:type="spellEnd"/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+ uszczelnienie wargowe, komora uszczelniająca wypełniona olejem przyjaznym dla środowiska (np. parafinowym)</w:t>
            </w:r>
          </w:p>
        </w:tc>
      </w:tr>
      <w:tr w:rsidR="003B38C2" w:rsidRPr="003B38C2" w14:paraId="22839E32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2A44B74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13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EF6DCC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Silnik – wykonanie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353D79D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IP 68</w:t>
            </w:r>
          </w:p>
        </w:tc>
      </w:tr>
      <w:tr w:rsidR="003B38C2" w:rsidRPr="003B38C2" w14:paraId="7C44DF92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E5896D1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14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9EA1AD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Silnik – zabezpieczenia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AD23D8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Termistor PTC + czujnik wilgoci</w:t>
            </w:r>
          </w:p>
        </w:tc>
      </w:tr>
      <w:tr w:rsidR="003B38C2" w:rsidRPr="003B38C2" w14:paraId="5A56ABA6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941D687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15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CFE7DC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Silnik – klasa izolacji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BFED5A3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H</w:t>
            </w:r>
          </w:p>
        </w:tc>
      </w:tr>
      <w:tr w:rsidR="003B38C2" w:rsidRPr="003B38C2" w14:paraId="559985D7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A03EC8D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16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96B09F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Silnik – napięcie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7027D9C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400 V</w:t>
            </w:r>
          </w:p>
        </w:tc>
      </w:tr>
      <w:tr w:rsidR="003B38C2" w:rsidRPr="003B38C2" w14:paraId="0CA23B79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DB05D79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17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FED906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Silnik – prąd nominalny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8D8B4F0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13,3 A</w:t>
            </w:r>
          </w:p>
        </w:tc>
      </w:tr>
      <w:tr w:rsidR="003B38C2" w:rsidRPr="003B38C2" w14:paraId="3A7FC426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6D05418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18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36ECF8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Silnik – częstotliwość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2DAE2C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50 </w:t>
            </w:r>
            <w:proofErr w:type="spellStart"/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Hz</w:t>
            </w:r>
            <w:proofErr w:type="spellEnd"/>
          </w:p>
        </w:tc>
      </w:tr>
      <w:tr w:rsidR="003B38C2" w:rsidRPr="003B38C2" w14:paraId="37BC88A5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294AA83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19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5E5316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Silnik – klasa sprawności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9A63142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IE3</w:t>
            </w:r>
          </w:p>
        </w:tc>
      </w:tr>
      <w:tr w:rsidR="003B38C2" w:rsidRPr="003B38C2" w14:paraId="178354B4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6D2E959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20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4ED924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Silnik – chłodzenie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ED23CE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Powierzchniowe</w:t>
            </w:r>
          </w:p>
        </w:tc>
      </w:tr>
      <w:tr w:rsidR="003B38C2" w:rsidRPr="003B38C2" w14:paraId="66823918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4554014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21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880C10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Mocowanie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F43C8FB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Poziome do prowadnicy ze stali nierdzewnej 100×100×5 (typ 1.4571)</w:t>
            </w:r>
          </w:p>
        </w:tc>
      </w:tr>
      <w:tr w:rsidR="003B38C2" w:rsidRPr="003B38C2" w14:paraId="24BC2136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CD54DEC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22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1B2869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Kabel zasilający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2E9F72C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10 </w:t>
            </w:r>
            <w:proofErr w:type="spellStart"/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mb</w:t>
            </w:r>
            <w:proofErr w:type="spellEnd"/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wąż elastyczny odporny na ścieki</w:t>
            </w:r>
          </w:p>
        </w:tc>
      </w:tr>
      <w:tr w:rsidR="003B38C2" w:rsidRPr="003B38C2" w14:paraId="1C7B65C5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052E05E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23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76687D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Przekładnia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93644A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Dopuszcza się tylko zastosowanie przekładni planetarnej</w:t>
            </w:r>
          </w:p>
        </w:tc>
      </w:tr>
      <w:tr w:rsidR="003B38C2" w:rsidRPr="003B38C2" w14:paraId="3050DA76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4FBE5D9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24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AD80EA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Średnia prędkość przepływu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13744A2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min. 0,300 m/s</w:t>
            </w:r>
          </w:p>
        </w:tc>
      </w:tr>
      <w:tr w:rsidR="003B38C2" w:rsidRPr="003B38C2" w14:paraId="1CE5F19E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8D9B204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25</w:t>
            </w:r>
          </w:p>
        </w:tc>
        <w:tc>
          <w:tcPr>
            <w:tcW w:w="11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8F126D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Współczynnik siły ciągu</w:t>
            </w:r>
          </w:p>
        </w:tc>
        <w:tc>
          <w:tcPr>
            <w:tcW w:w="35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C2CAAD" w14:textId="77777777" w:rsidR="003B38C2" w:rsidRPr="003B38C2" w:rsidRDefault="003B38C2" w:rsidP="003B38C2">
            <w:pPr>
              <w:spacing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min. 900 N/kW (mierzony wg ISO 21630)</w:t>
            </w:r>
          </w:p>
        </w:tc>
      </w:tr>
    </w:tbl>
    <w:p w14:paraId="3C72F8AA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1BA696D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076B4202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f) Wymagania eksploatacyjne:</w:t>
      </w:r>
    </w:p>
    <w:p w14:paraId="38CFFE2D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Wykonawca gwarantuje, że po wykonaniu wymiany (dostawa + montaż) układ mieszania odzyska pełną sprawność technologiczną, tj. zdolność do utrzymania osadu w zawiesinie.</w:t>
      </w:r>
    </w:p>
    <w:p w14:paraId="1E56C7B6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g) Dokumentacja</w:t>
      </w:r>
    </w:p>
    <w:p w14:paraId="02384FE9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Wykonawca zobowiązany jest dostarczyć następująca dokumentację przed podpisaniem protokołu odbioru końcowego: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2706"/>
        <w:gridCol w:w="5820"/>
      </w:tblGrid>
      <w:tr w:rsidR="003B38C2" w:rsidRPr="003B38C2" w14:paraId="1F2EF7CF" w14:textId="77777777" w:rsidTr="00EE7E7E">
        <w:trPr>
          <w:tblHeader/>
        </w:trPr>
        <w:tc>
          <w:tcPr>
            <w:tcW w:w="223" w:type="pct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5E595D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Lp.</w:t>
            </w:r>
          </w:p>
        </w:tc>
        <w:tc>
          <w:tcPr>
            <w:tcW w:w="1033" w:type="pct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9715B6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Rodzaj dokumentu</w:t>
            </w:r>
          </w:p>
        </w:tc>
        <w:tc>
          <w:tcPr>
            <w:tcW w:w="3743" w:type="pct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28B830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Uwagi</w:t>
            </w:r>
          </w:p>
        </w:tc>
      </w:tr>
      <w:tr w:rsidR="003B38C2" w:rsidRPr="003B38C2" w14:paraId="42E0400C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E5891A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C9A088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Protokół uruchomienia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1206570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Podpisany przez przedstawicieli Zamawiającego i Wykonawcy. Protokół musi potwierdzać prawidłowy montaż, uruchomienie oraz wykonanie prób funkcjonalnych urządzenia bez stwierdzonych wad uniemożliwiających jego eksploatację. </w:t>
            </w:r>
          </w:p>
        </w:tc>
      </w:tr>
      <w:tr w:rsidR="003B38C2" w:rsidRPr="003B38C2" w14:paraId="1C1914FA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05D557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D6414C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Protokół pomiarów elektrycznych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893E085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Wykonany przez osobę posiadającą aktualne uprawnienia SEP. Raport musi zawierać pomiar rezystancji izolacji, pomiar skuteczności ochrony przeciwporażeniowej, ciągłość przewodów ochronnych PE.</w:t>
            </w:r>
          </w:p>
        </w:tc>
      </w:tr>
      <w:tr w:rsidR="003B38C2" w:rsidRPr="003B38C2" w14:paraId="682ED0E4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9467950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FA8B845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6B21079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3B38C2" w:rsidRPr="003B38C2" w14:paraId="44C0F957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1099FC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F04C9D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Karty katalogowo/techniczne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7B7E45F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Karty katalogowo/techniczne producenta urządzenia dotyczące dostarczonego urządzenia oraz jego głównych komponentów umożliwiające jednoznaczną identyfikację (typ, model, numer katalogowy)</w:t>
            </w:r>
          </w:p>
        </w:tc>
      </w:tr>
      <w:tr w:rsidR="003B38C2" w:rsidRPr="003B38C2" w14:paraId="6A8A4838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A2A4D81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EC31F9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Deklaracje zgodności i certyfikaty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745C459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Dokumenty wystawione przez producenta urządzenia lub producentów poszczególnych komponentów. Należy dostarczyć deklarację zgodności UE/WE dla kompletnego urządzenia lub jego głównych komponentów, jeżeli są wymagane przez obowiązujące przepisy prawa lub dokumentację techniczną urządzenia. Urządzenie musi posiadać oznakowanie CE.</w:t>
            </w:r>
          </w:p>
        </w:tc>
      </w:tr>
      <w:tr w:rsidR="003B38C2" w:rsidRPr="003B38C2" w14:paraId="5CC3FDFC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018DE5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AD6635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Dokumentacja techniczno-  ruchowa  (DTR) oraz instrukcja obsługi 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B36B4D4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Należy dostarczyć Dokumentację Techniczno-Ruchową oraz instrukcję obsługi i montażu. Dokumentacja musi zawierać instrukcję montażu, uruchomienia, eksploatacji, konserwacji, wykaz części zamiennych, harmonogram </w:t>
            </w: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przeglądów oraz schematy elektryczne. Dokumentacja w języku polskim.</w:t>
            </w:r>
          </w:p>
        </w:tc>
      </w:tr>
      <w:tr w:rsidR="003B38C2" w:rsidRPr="003B38C2" w14:paraId="5ACE70D5" w14:textId="77777777" w:rsidTr="00EE7E7E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F385A2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7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5A96EE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Dokumenty gwarancyjne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5D04B3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B38C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Dokumenty gwarancyjne i warunki serwisu</w:t>
            </w:r>
          </w:p>
          <w:p w14:paraId="5B8A1181" w14:textId="77777777" w:rsidR="003B38C2" w:rsidRPr="003B38C2" w:rsidRDefault="003B38C2" w:rsidP="003B38C2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</w:tbl>
    <w:p w14:paraId="3CCB7598" w14:textId="77777777" w:rsidR="003B38C2" w:rsidRPr="003B38C2" w:rsidRDefault="003B38C2" w:rsidP="003B38C2">
      <w:pPr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</w:p>
    <w:p w14:paraId="646B165E" w14:textId="77777777" w:rsidR="003B38C2" w:rsidRPr="003B38C2" w:rsidRDefault="003B38C2" w:rsidP="003B38C2">
      <w:pPr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Dokumentację należy przekazać zamawiającemu w 2 egzemplarzach:</w:t>
      </w:r>
    </w:p>
    <w:p w14:paraId="7B45FF4B" w14:textId="77777777" w:rsidR="003B38C2" w:rsidRPr="003B38C2" w:rsidRDefault="003B38C2" w:rsidP="003B38C2">
      <w:pPr>
        <w:numPr>
          <w:ilvl w:val="0"/>
          <w:numId w:val="8"/>
        </w:numPr>
        <w:spacing w:after="160" w:line="259" w:lineRule="auto"/>
        <w:contextualSpacing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Egzemplarz w formie elektronicznej na pamięci przenośnej USB o standardzie minimum USB 3.0 , zawierający skany oryginałów dokumentów zapisane w formacie PDF – 1szt.</w:t>
      </w:r>
    </w:p>
    <w:p w14:paraId="475FD6B5" w14:textId="77777777" w:rsidR="003B38C2" w:rsidRPr="003B38C2" w:rsidRDefault="003B38C2" w:rsidP="003B38C2">
      <w:pPr>
        <w:numPr>
          <w:ilvl w:val="0"/>
          <w:numId w:val="8"/>
        </w:numPr>
        <w:spacing w:after="160" w:line="259" w:lineRule="auto"/>
        <w:contextualSpacing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Egzemplarz w formie papierowej , zawierający oryginały dokumentów – 1 szt.</w:t>
      </w:r>
    </w:p>
    <w:p w14:paraId="42BCBE56" w14:textId="77777777" w:rsidR="003B38C2" w:rsidRPr="003B38C2" w:rsidRDefault="003B38C2" w:rsidP="003B38C2">
      <w:pPr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 xml:space="preserve">Przekazanie dokumentacji powykonawczej stanowi warunek dokonania odbioru końcowego przedmiotu zamówienia. </w:t>
      </w:r>
    </w:p>
    <w:p w14:paraId="5DDEC840" w14:textId="77777777" w:rsidR="003B38C2" w:rsidRPr="003B38C2" w:rsidRDefault="003B38C2" w:rsidP="003B38C2">
      <w:pPr>
        <w:spacing w:line="259" w:lineRule="auto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46B52561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h) Uzasadnienie dla celów księgowych (forma prawna zamówienia):</w:t>
      </w:r>
    </w:p>
    <w:p w14:paraId="2E67C3D2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„Zamówienie polega na wymianie kluczowych elementów składowych obiektu (mieszadeł), które uległy całkowitemu zużyciu technicznemu, w celu przywrócenia pierwotnej zdolności użytkowej urządzenia przy zachowaniu istniejącej infrastruktury wsporczej.”</w:t>
      </w:r>
    </w:p>
    <w:p w14:paraId="5DD01100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229124E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3. Obowiązki Wykonawcy</w:t>
      </w:r>
    </w:p>
    <w:p w14:paraId="4CB003FD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a) Wykonawca zobowiązuje się do ochrony mienia </w:t>
      </w:r>
      <w:proofErr w:type="spellStart"/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MWiK</w:t>
      </w:r>
      <w:proofErr w:type="spellEnd"/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w Bydgoszczy znajdującego się na terenie realizacji prac przed uszkodzeniem lub zniszczeniem, a także do zapewnienia odpowiednich środków ochrony przeciwpożarowej zgodnie z obowiązującymi przepisami.</w:t>
      </w:r>
    </w:p>
    <w:p w14:paraId="1795EFF5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b) Każdorazowe przybycie Wykonawcy na teren zakładu należy potwierdzić pisemnie w sterowni u mistrza OŚF.</w:t>
      </w:r>
    </w:p>
    <w:p w14:paraId="6E2344D2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c) W czasie realizacji robót Wykonawca zobowiązany jest do usuwania odpadów i śmieci związanych z realizacją zadania oraz ich utylizacji we własnym zakresie.</w:t>
      </w:r>
    </w:p>
    <w:p w14:paraId="5A141CAE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d) Po zakończeniu robót Wykonawca zobowiązany jest do uporządkowania terenu, na którym były prowadzone prace i przekazania go Zamawiającemu w terminie ustalonym na odbiór robót w stanie nie gorszym niż zastał.</w:t>
      </w:r>
    </w:p>
    <w:p w14:paraId="509D2ABB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e) Wykonawca przeprowadzi prace związane z przedmiotem umowy od poniedziałku do piątku (w dni robocze) w godzinach 6.00–18.00, z zastrzeżeniem, że ewentualne prace wymagające zatrzymania technologii mogą być uzgodnione z Zamawiającym w innych terminach.</w:t>
      </w:r>
    </w:p>
    <w:p w14:paraId="387D3AE0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f) Wykonawca dostarczy przed rozpoczęciem prac listy osób i pojazdów wjeżdżających na czas prowadzenia prac.</w:t>
      </w:r>
    </w:p>
    <w:p w14:paraId="37486F47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g) Wykonawca zobowiązany jest do wyznaczenia osoby nadzorującej prace i udostępnienia jej danych kontaktowych.</w:t>
      </w:r>
    </w:p>
    <w:p w14:paraId="70E1D0B4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h) Wykonawca przekaże Zamawiającemu wszystkie zużyte lub uszkodzone elementy, które zostały wymienione w ramach realizowanego zakresu prac, nie później niż w dniu odbioru końcowego.</w:t>
      </w:r>
    </w:p>
    <w:p w14:paraId="22108865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lastRenderedPageBreak/>
        <w:t>i) Wykonawca dostarczy dokumentację powykonawczą zgodnie z pkt </w:t>
      </w:r>
      <w:r w:rsidRPr="003B38C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2.1.g</w:t>
      </w: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 niniejszego OPZ.</w:t>
      </w:r>
    </w:p>
    <w:p w14:paraId="6F4D6008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66A0ED7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4. Zobowiązania Zamawiającego</w:t>
      </w:r>
    </w:p>
    <w:p w14:paraId="2DC8125E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a) Zamawiający udostępni przyłącze elektryczne 230/400V w celu dostarczenia energii elektrycznej.</w:t>
      </w:r>
    </w:p>
    <w:p w14:paraId="6F7565D4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b) Zamawiający udostępni Wykonawcy posiadaną dokumentację techniczną (rysunek techniczny istniejącego układu prowadnic).</w:t>
      </w:r>
    </w:p>
    <w:p w14:paraId="05D07360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c) Zamawiający wskaże miejsce składowania zdemontowanych elementów do czasu ich odbioru przez Wykonawcę.</w:t>
      </w:r>
    </w:p>
    <w:p w14:paraId="28E6D902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d) Zamawiający zawiadomi Wykonawcę o terminie rozpoczęcia realizacji przedmiotu umowy z co najmniej 14-dniowym wyprzedzeniem.</w:t>
      </w:r>
    </w:p>
    <w:p w14:paraId="3B1FDEDE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0B5CCE1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5. Gwarancja</w:t>
      </w:r>
    </w:p>
    <w:p w14:paraId="6981B298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Wykonawca udziela Zamawiającemu gwarancji na wykonaną pracę oraz zastosowane części na okres </w:t>
      </w:r>
      <w:r w:rsidRPr="003B38C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minimum 24 miesięcy</w:t>
      </w: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liczony od daty podpisania Protokołu Odbioru końcowego. W tym okresie Wykonawca zobowiązuje się do nieodpłatnego usunięcia wszelkich wad fizycznych i prawnych powstałych z przyczyn tkwiących w wykonanych pracach lub dostarczonych częściach. Gwarancja obejmuje również koszty robocizny, materiałów oraz dojazdu niezbędnych do przeprowadzenia napraw gwarancyjnych.</w:t>
      </w:r>
    </w:p>
    <w:p w14:paraId="2FAD6FC6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BA5D0C1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6. Inne informacje</w:t>
      </w:r>
    </w:p>
    <w:p w14:paraId="13463D14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a) Wykonawca zobowiązany jest do przestrzegania przepisów BHP i ppoż. obowiązujących na terenie Oczyszczalni Ścieków FORDON.</w:t>
      </w:r>
    </w:p>
    <w:p w14:paraId="08A1EE41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B38C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b) W przypadku konieczności opróżnienia komory reaktora z osadu, prace te nie wchodzą w zakres niniejszego zamówienia, chyba że zostaną odrębnie uzgodnione i zlecone.</w:t>
      </w:r>
    </w:p>
    <w:p w14:paraId="473DD9C0" w14:textId="77777777" w:rsidR="003B38C2" w:rsidRPr="003B38C2" w:rsidRDefault="003B38C2" w:rsidP="003B38C2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4047B0D" w14:textId="303FA373" w:rsidR="003B38C2" w:rsidRDefault="003B38C2" w:rsidP="003B38C2">
      <w:pPr>
        <w:spacing w:line="259" w:lineRule="auto"/>
        <w:rPr>
          <w:rFonts w:ascii="Arial" w:eastAsiaTheme="minorHAnsi" w:hAnsi="Arial" w:cs="Arial"/>
          <w:b/>
          <w:bCs/>
          <w:sz w:val="22"/>
          <w:szCs w:val="22"/>
        </w:rPr>
      </w:pPr>
      <w:r>
        <w:rPr>
          <w:rFonts w:ascii="Arial" w:eastAsiaTheme="minorHAnsi" w:hAnsi="Arial" w:cs="Arial"/>
          <w:b/>
          <w:bCs/>
          <w:sz w:val="22"/>
          <w:szCs w:val="22"/>
        </w:rPr>
        <w:t>\</w:t>
      </w:r>
    </w:p>
    <w:p w14:paraId="66EB5627" w14:textId="77777777" w:rsidR="003B38C2" w:rsidRPr="003B38C2" w:rsidRDefault="003B38C2" w:rsidP="003B38C2">
      <w:pPr>
        <w:spacing w:line="259" w:lineRule="auto"/>
        <w:rPr>
          <w:rFonts w:ascii="Arial" w:eastAsiaTheme="minorHAnsi" w:hAnsi="Arial" w:cs="Arial"/>
          <w:b/>
          <w:bCs/>
          <w:sz w:val="22"/>
          <w:szCs w:val="22"/>
        </w:rPr>
      </w:pPr>
    </w:p>
    <w:sectPr w:rsidR="003B38C2" w:rsidRPr="003B38C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4C10B" w14:textId="77777777" w:rsidR="00D51330" w:rsidRDefault="00D51330" w:rsidP="00954ADA">
      <w:r>
        <w:separator/>
      </w:r>
    </w:p>
  </w:endnote>
  <w:endnote w:type="continuationSeparator" w:id="0">
    <w:p w14:paraId="0E694902" w14:textId="77777777" w:rsidR="00D51330" w:rsidRDefault="00D51330" w:rsidP="00954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FDA47" w14:textId="77777777" w:rsidR="00D51330" w:rsidRDefault="00D51330" w:rsidP="00954ADA">
      <w:r>
        <w:separator/>
      </w:r>
    </w:p>
  </w:footnote>
  <w:footnote w:type="continuationSeparator" w:id="0">
    <w:p w14:paraId="14941116" w14:textId="77777777" w:rsidR="00D51330" w:rsidRDefault="00D51330" w:rsidP="00954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4BE76" w14:textId="773BFBB0" w:rsidR="00954ADA" w:rsidRPr="00A30FB3" w:rsidRDefault="00954ADA" w:rsidP="00954ADA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>
      <w:rPr>
        <w:rFonts w:ascii="Arial" w:hAnsi="Arial"/>
        <w:sz w:val="16"/>
        <w:szCs w:val="16"/>
      </w:rPr>
      <w:t>-</w:t>
    </w:r>
    <w:r w:rsidR="006B73A5">
      <w:rPr>
        <w:rFonts w:ascii="Arial" w:hAnsi="Arial"/>
        <w:sz w:val="16"/>
        <w:szCs w:val="16"/>
      </w:rPr>
      <w:t>144</w:t>
    </w:r>
    <w:r w:rsidRPr="00A30FB3">
      <w:rPr>
        <w:rFonts w:ascii="Arial" w:hAnsi="Arial"/>
        <w:sz w:val="16"/>
        <w:szCs w:val="16"/>
      </w:rPr>
      <w:t>/</w:t>
    </w:r>
    <w:r w:rsidR="007D3266">
      <w:rPr>
        <w:rFonts w:ascii="Arial" w:hAnsi="Arial"/>
        <w:sz w:val="16"/>
        <w:szCs w:val="16"/>
      </w:rPr>
      <w:t>U</w:t>
    </w:r>
    <w:r w:rsidRPr="00A30FB3">
      <w:rPr>
        <w:rFonts w:ascii="Arial" w:hAnsi="Arial"/>
        <w:sz w:val="16"/>
        <w:szCs w:val="16"/>
      </w:rPr>
      <w:t>/RZ/202</w:t>
    </w:r>
    <w:r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–</w:t>
    </w:r>
    <w:r>
      <w:rPr>
        <w:rFonts w:ascii="Arial" w:hAnsi="Arial"/>
        <w:sz w:val="16"/>
        <w:szCs w:val="16"/>
      </w:rPr>
      <w:t>„</w:t>
    </w:r>
    <w:r w:rsidR="007D3266">
      <w:rPr>
        <w:rFonts w:ascii="Arial" w:hAnsi="Arial"/>
        <w:sz w:val="16"/>
        <w:szCs w:val="16"/>
      </w:rPr>
      <w:t xml:space="preserve">Remont </w:t>
    </w:r>
    <w:r w:rsidR="006B73A5">
      <w:rPr>
        <w:rFonts w:ascii="Arial" w:hAnsi="Arial"/>
        <w:sz w:val="16"/>
        <w:szCs w:val="16"/>
      </w:rPr>
      <w:t>mieszadeł zatapialnych</w:t>
    </w:r>
    <w:r>
      <w:rPr>
        <w:rFonts w:ascii="Arial" w:hAnsi="Arial"/>
        <w:sz w:val="16"/>
        <w:szCs w:val="16"/>
      </w:rPr>
      <w:t>”</w:t>
    </w:r>
  </w:p>
  <w:p w14:paraId="04057154" w14:textId="77777777" w:rsidR="00954ADA" w:rsidRDefault="00954A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92EBC"/>
    <w:multiLevelType w:val="multilevel"/>
    <w:tmpl w:val="4148DCF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FEB3110"/>
    <w:multiLevelType w:val="multilevel"/>
    <w:tmpl w:val="E20A5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A3339A"/>
    <w:multiLevelType w:val="multilevel"/>
    <w:tmpl w:val="36A84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E30910"/>
    <w:multiLevelType w:val="hybridMultilevel"/>
    <w:tmpl w:val="FB188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02C70"/>
    <w:multiLevelType w:val="hybridMultilevel"/>
    <w:tmpl w:val="4692C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A164A8"/>
    <w:multiLevelType w:val="hybridMultilevel"/>
    <w:tmpl w:val="A45E2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7A413F"/>
    <w:multiLevelType w:val="hybridMultilevel"/>
    <w:tmpl w:val="902A45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F8552A9"/>
    <w:multiLevelType w:val="hybridMultilevel"/>
    <w:tmpl w:val="12302B72"/>
    <w:lvl w:ilvl="0" w:tplc="2C88C752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74785040">
    <w:abstractNumId w:val="7"/>
  </w:num>
  <w:num w:numId="2" w16cid:durableId="1418866077">
    <w:abstractNumId w:val="5"/>
  </w:num>
  <w:num w:numId="3" w16cid:durableId="2130927832">
    <w:abstractNumId w:val="0"/>
  </w:num>
  <w:num w:numId="4" w16cid:durableId="504444653">
    <w:abstractNumId w:val="6"/>
  </w:num>
  <w:num w:numId="5" w16cid:durableId="547181">
    <w:abstractNumId w:val="1"/>
  </w:num>
  <w:num w:numId="6" w16cid:durableId="1628193506">
    <w:abstractNumId w:val="2"/>
  </w:num>
  <w:num w:numId="7" w16cid:durableId="1645157514">
    <w:abstractNumId w:val="4"/>
  </w:num>
  <w:num w:numId="8" w16cid:durableId="1888489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ADA"/>
    <w:rsid w:val="000979AE"/>
    <w:rsid w:val="00243B53"/>
    <w:rsid w:val="0031291A"/>
    <w:rsid w:val="00343AB3"/>
    <w:rsid w:val="00361D89"/>
    <w:rsid w:val="003B38C2"/>
    <w:rsid w:val="00403FA9"/>
    <w:rsid w:val="0043710C"/>
    <w:rsid w:val="005B6598"/>
    <w:rsid w:val="00627B71"/>
    <w:rsid w:val="0063698A"/>
    <w:rsid w:val="006A5926"/>
    <w:rsid w:val="006B73A5"/>
    <w:rsid w:val="00790F6F"/>
    <w:rsid w:val="007D3266"/>
    <w:rsid w:val="00954ADA"/>
    <w:rsid w:val="00A165AB"/>
    <w:rsid w:val="00A47230"/>
    <w:rsid w:val="00AA4840"/>
    <w:rsid w:val="00C93CC3"/>
    <w:rsid w:val="00C95BAA"/>
    <w:rsid w:val="00CC4C07"/>
    <w:rsid w:val="00D51330"/>
    <w:rsid w:val="00F4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027A0"/>
  <w15:chartTrackingRefBased/>
  <w15:docId w15:val="{DD3CEA28-6A1C-4DCD-8791-26D53E079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ADA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4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4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4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4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4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4AD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4AD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4AD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4AD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4A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4A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4A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4A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4A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4A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4A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4A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4A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4A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54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4AD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54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4AD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54A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4AD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54A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4A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4A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4ADA"/>
    <w:rPr>
      <w:b/>
      <w:bCs/>
      <w:smallCaps/>
      <w:color w:val="2F5496" w:themeColor="accent1" w:themeShade="BF"/>
      <w:spacing w:val="5"/>
    </w:rPr>
  </w:style>
  <w:style w:type="paragraph" w:customStyle="1" w:styleId="Styl1">
    <w:name w:val="Styl1"/>
    <w:basedOn w:val="Tytu"/>
    <w:qFormat/>
    <w:rsid w:val="00954ADA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54A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4AD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54A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4ADA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1494</Words>
  <Characters>8968</Characters>
  <Application>Microsoft Office Word</Application>
  <DocSecurity>0</DocSecurity>
  <Lines>74</Lines>
  <Paragraphs>20</Paragraphs>
  <ScaleCrop>false</ScaleCrop>
  <Company/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7</cp:revision>
  <cp:lastPrinted>2026-06-24T10:28:00Z</cp:lastPrinted>
  <dcterms:created xsi:type="dcterms:W3CDTF">2026-05-26T11:17:00Z</dcterms:created>
  <dcterms:modified xsi:type="dcterms:W3CDTF">2026-06-24T10:29:00Z</dcterms:modified>
</cp:coreProperties>
</file>